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156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茂名滨海发展集团有限公司合规管理体系认证服务项目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招标文件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澄清</w:t>
      </w:r>
    </w:p>
    <w:p w14:paraId="34D402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B40BF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各潜在投标人：</w:t>
      </w:r>
    </w:p>
    <w:p w14:paraId="73B2F1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现就“茂名滨海发展集团有限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公司合规管理体系认证服务项目采购公告”有关内容进行澄清、补充，具体如下：</w:t>
      </w:r>
    </w:p>
    <w:p w14:paraId="7A676C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本项目认证主体为集团，不包含成员企业；</w:t>
      </w:r>
    </w:p>
    <w:p w14:paraId="5CF09A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具体地址、营业范围、人数等具体内容以工商查询为准，也可登录我集团官网了解。</w:t>
      </w:r>
    </w:p>
    <w:p w14:paraId="0A2632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原招标文件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（含采购公告）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的内容与本澄清公告发布的内容不一致之处的，以本澄清公告内容为准。本澄清公告为招标文件的组成部分，请各投标单位应仔细阅读本澄清公告，认真编制投标文件。</w:t>
      </w:r>
    </w:p>
    <w:p w14:paraId="0E935F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CCF6A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招标单位：茂名滨海发展集团有限公司</w:t>
      </w:r>
    </w:p>
    <w:p w14:paraId="7F02D2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2026年4月21日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BD764"/>
    <w:multiLevelType w:val="singleLevel"/>
    <w:tmpl w:val="69CBD7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A0EB8"/>
    <w:rsid w:val="77672208"/>
    <w:rsid w:val="7AE3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2026-04-21T02:34:47Z</dcterms:created>
  <dc:creator>Ameuz</dc:creator>
  <cp:lastModifiedBy>何锦坚</cp:lastModifiedBy>
  <dcterms:modified xsi:type="dcterms:W3CDTF">2026-04-21T02:43:21Z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eyJoZGlkIjoiOTc3M2Y5NzIzMDFlZjAyY2Q4Njk5ODkyYjFjNzBiNTQiLCJ1c2VySWQiOiIyNDY3MTQ2OTIifQ==</vt:lpwstr>
  </property>
  <property fmtid="{D5CDD505-2E9C-101B-9397-08002B2CF9AE}" pid="4" name="ICV">
    <vt:lpwstr>288ED550D9A44A10B936F04CB9AE4810_12</vt:lpwstr>
  </property>
</Properties>
</file>